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7CBFC9" w14:textId="77777777" w:rsidR="00B66424" w:rsidRDefault="00B6642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/2Z/           /MW/2021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 w:val="0"/>
          <w:sz w:val="20"/>
        </w:rPr>
        <w:t>pomiędzy</w:t>
      </w:r>
      <w:proofErr w:type="spellEnd"/>
      <w:r>
        <w:rPr>
          <w:rFonts w:ascii="Arial" w:hAnsi="Arial" w:cs="Arial"/>
          <w:b w:val="0"/>
          <w:sz w:val="20"/>
        </w:rPr>
        <w:t>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 xml:space="preserve">z siedzibą przy ulicy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Kupującym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77777777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DANE DOSTAWCY</w:t>
      </w:r>
      <w:r w:rsidR="000060E8">
        <w:rPr>
          <w:rFonts w:ascii="Arial" w:hAnsi="Arial" w:cs="Arial"/>
          <w:b/>
          <w:bCs/>
          <w:sz w:val="20"/>
        </w:rPr>
        <w:t>/SPRZEDAWCY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7381CD59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Sprzedawcą</w:t>
      </w:r>
    </w:p>
    <w:p w14:paraId="55AFC6C4" w14:textId="77777777" w:rsidR="00053A05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7777777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 wskazany powyżej.</w:t>
      </w:r>
    </w:p>
    <w:p w14:paraId="1C2ACD86" w14:textId="38D7D48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Kupującego na adres e-mailowy Sprzedawcy.</w:t>
      </w:r>
    </w:p>
    <w:p w14:paraId="311B505E" w14:textId="2A5E8CF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bookmarkStart w:id="0" w:name="_GoBack"/>
      <w:bookmarkEnd w:id="0"/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>WARUNKI ZAKUPU TOWARÓW ORAZ ZAKUPU TOWARÓW I SWIADCZENIA USŁUG ORLEN Projekt Spółka Akcyjna 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 xml:space="preserve">załącznik nr 2), Klauzula Antykorupcyjna (załącznik nr 3), Klauzula RODO (załącznik nr 4), Tajemnica </w:t>
      </w:r>
      <w:r>
        <w:rPr>
          <w:rFonts w:ascii="Arial" w:hAnsi="Arial" w:cs="Arial"/>
          <w:sz w:val="20"/>
        </w:rPr>
        <w:lastRenderedPageBreak/>
        <w:t>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nr 7), </w:t>
      </w:r>
      <w:r w:rsidR="00586A89" w:rsidRPr="00586A89">
        <w:rPr>
          <w:rFonts w:ascii="Arial" w:hAnsi="Arial" w:cs="Arial"/>
          <w:sz w:val="20"/>
        </w:rPr>
        <w:t>Informacja w zakresie Wymagań Bezpieczeń</w:t>
      </w:r>
      <w:r w:rsidR="00586A89">
        <w:rPr>
          <w:rFonts w:ascii="Arial" w:hAnsi="Arial" w:cs="Arial"/>
          <w:sz w:val="20"/>
        </w:rPr>
        <w:t>stwa  i Higieny Pr</w:t>
      </w:r>
      <w:r w:rsidR="00A22FCD">
        <w:rPr>
          <w:rFonts w:ascii="Arial" w:hAnsi="Arial" w:cs="Arial"/>
          <w:sz w:val="20"/>
        </w:rPr>
        <w:t>acy Orlen S.A. (załącznik nr 8)</w:t>
      </w:r>
      <w:r w:rsidR="00A22FCD" w:rsidRPr="00A22FCD">
        <w:t xml:space="preserve">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t>1. Przedmiot Zamówienia:</w:t>
      </w:r>
    </w:p>
    <w:p w14:paraId="7499A4BD" w14:textId="1332B112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>Przedmiot zamówienia obejmuje dostawę zaworów bezpieczeństwa, zgodnie ze specyfikacją techniczną ujętą w w/w ofercie (Załącznik nr 1) oraz zapytaniem ofertowym umieszczonym na platformie Connect pod nr OP/2/000064/23, jak również zgodnie z odpowiedziami Zamawiającego na pytania Wykonawcy udzielane w toku postępowania zakupowego nr OP/2/000064/23 na platformie Connect oraz wszelkimi dokumentami zamieszczonymi przez Zamawiającego na platformie Connect w toku postępowan</w:t>
      </w:r>
      <w:r>
        <w:rPr>
          <w:rFonts w:ascii="Arial" w:eastAsia="Calibri" w:hAnsi="Arial" w:cs="Arial"/>
          <w:sz w:val="20"/>
        </w:rPr>
        <w:t>ia zakupowego nr OP/2/000064/23.</w:t>
      </w:r>
    </w:p>
    <w:p w14:paraId="69566042" w14:textId="77777777" w:rsidR="00B66424" w:rsidRDefault="00B66424">
      <w:pPr>
        <w:pStyle w:val="Tekstpodstawowy"/>
        <w:spacing w:before="120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Działając na podstawie art. 4c ustawy z dnia 8 marca 2013 r. o przeciwdziałaniu nadmiernym opóźnieniom w transakcjach handlowych (Dz.U. z 2019 r. poz.118 ze zm.), 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zobowiązuje się do poinformowania Kupującego o zmianie swojej sytuacji finansowej, w przypadku, kiedy zmiana ta może mieć wpływ na prawidłowy przebieg współpracy z 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16E04F13" w:rsidR="00B66424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sz w:val="20"/>
        </w:rPr>
        <w:t>–</w:t>
      </w:r>
      <w:r w:rsidR="00864D68">
        <w:rPr>
          <w:sz w:val="20"/>
        </w:rPr>
        <w:t xml:space="preserve"> </w:t>
      </w:r>
      <w:r w:rsidR="002C4F49">
        <w:rPr>
          <w:rFonts w:ascii="Arial" w:hAnsi="Arial" w:cs="Arial"/>
          <w:b w:val="0"/>
          <w:sz w:val="20"/>
        </w:rPr>
        <w:t>……………………..</w:t>
      </w:r>
      <w:r w:rsidR="00B22050" w:rsidRPr="00B22050">
        <w:rPr>
          <w:rFonts w:ascii="Arial" w:hAnsi="Arial" w:cs="Arial"/>
          <w:b w:val="0"/>
          <w:sz w:val="20"/>
        </w:rPr>
        <w:t>●</w:t>
      </w:r>
      <w:r w:rsidR="00B22050" w:rsidRPr="00B22050">
        <w:rPr>
          <w:rFonts w:ascii="Arial" w:hAnsi="Arial" w:cs="Arial"/>
          <w:b w:val="0"/>
          <w:sz w:val="20"/>
        </w:rPr>
        <w:tab/>
      </w:r>
      <w:proofErr w:type="spellStart"/>
      <w:r w:rsidR="00B22050" w:rsidRPr="00B22050">
        <w:rPr>
          <w:rFonts w:ascii="Arial" w:hAnsi="Arial" w:cs="Arial"/>
          <w:b w:val="0"/>
          <w:sz w:val="20"/>
        </w:rPr>
        <w:t>po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przesłaniu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Zamówienia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jednostronnie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podpisanego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przez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>
        <w:rPr>
          <w:rFonts w:ascii="Arial" w:hAnsi="Arial" w:cs="Arial"/>
          <w:b w:val="0"/>
          <w:sz w:val="20"/>
        </w:rPr>
        <w:t>Kupującego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na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adres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e-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mailowy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Wykonawcy</w:t>
      </w:r>
      <w:proofErr w:type="spellEnd"/>
      <w:r w:rsidR="00B22050" w:rsidRPr="00B22050">
        <w:rPr>
          <w:rFonts w:ascii="Arial" w:hAnsi="Arial" w:cs="Arial"/>
          <w:b w:val="0"/>
          <w:sz w:val="20"/>
        </w:rPr>
        <w:t>.</w:t>
      </w:r>
    </w:p>
    <w:p w14:paraId="4E6A832C" w14:textId="05A8854D" w:rsidR="00D36A95" w:rsidRDefault="00D36A95">
      <w:pPr>
        <w:tabs>
          <w:tab w:val="left" w:pos="1134"/>
          <w:tab w:val="left" w:pos="1701"/>
        </w:tabs>
        <w:spacing w:before="120"/>
        <w:jc w:val="both"/>
        <w:rPr>
          <w:rFonts w:ascii="Arial" w:eastAsia="Arial" w:hAnsi="Arial" w:cs="Arial"/>
          <w:color w:val="000000"/>
          <w:sz w:val="20"/>
        </w:rPr>
      </w:pPr>
      <w:r w:rsidRPr="00D36A95">
        <w:rPr>
          <w:rFonts w:ascii="Arial" w:eastAsia="Arial" w:hAnsi="Arial" w:cs="Arial"/>
          <w:color w:val="000000"/>
          <w:sz w:val="20"/>
        </w:rPr>
        <w:t>Wjazd na teren ORLEN S.A. z  towarem innym, niż ten objęty zakresem przedmiotu Zamówienia jest niemożliwy. Sprzedawca odpowiada za wszelkie opóźnienia w realizacji Zamówienia związane z brakiem możliwości wjazdu Przewoźnika na teren ORLEN S.A. w ww. okolicznościach. Zorganizowanie przepakowania towarów innych niż objęte zakresem przedmiotu Zamówienia pozostaje po stronie Sprzedawcy, na jego koszt i ryzyko. Sprzedawca zobowiązany jest do przekazania przewoźnikowi danych kontaktowych Kupującego oraz poinformowania Kupującego na 2 dni przed planowaną dostawą o dostawie wraz z danymi Przewoźnika”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4D90AA53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DOSTAWCA</w:t>
      </w:r>
      <w:r w:rsidRPr="009664ED">
        <w:rPr>
          <w:rFonts w:ascii="Arial" w:hAnsi="Arial" w:cs="Arial"/>
          <w:highlight w:val="yellow"/>
        </w:rPr>
        <w:t xml:space="preserve"> zobowiązuje się przestrzegać ogólnie obowiązujących przepisów prawa oraz wewnątrzzakładowych aktów normatywnych ORLEN S.A. z zakresu ochrony przeciwpożarowej i bezpieczeństwa pracy.</w:t>
      </w:r>
      <w:r>
        <w:rPr>
          <w:rFonts w:ascii="Arial" w:hAnsi="Arial" w:cs="Arial"/>
        </w:rPr>
        <w:t xml:space="preserve"> </w:t>
      </w:r>
    </w:p>
    <w:p w14:paraId="2FB4FFB8" w14:textId="256ABD30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101C73">
        <w:rPr>
          <w:rFonts w:ascii="Arial" w:hAnsi="Arial" w:cs="Arial"/>
          <w:highlight w:val="yellow"/>
        </w:rPr>
        <w:t xml:space="preserve">AWCA zobowiązuje się przestrzegać ustaleń Kompleksowego Systemu Prewencji, w tym obligatoryjnie wyposażyć pracowników </w:t>
      </w:r>
      <w:r>
        <w:rPr>
          <w:rFonts w:ascii="Arial" w:hAnsi="Arial" w:cs="Arial"/>
          <w:highlight w:val="yellow"/>
        </w:rPr>
        <w:t xml:space="preserve">m. in.: </w:t>
      </w:r>
      <w:r w:rsidRPr="00101C73">
        <w:rPr>
          <w:rFonts w:ascii="Arial" w:hAnsi="Arial" w:cs="Arial"/>
          <w:highlight w:val="yellow"/>
        </w:rPr>
        <w:t xml:space="preserve">w maski </w:t>
      </w:r>
      <w:proofErr w:type="spellStart"/>
      <w:r w:rsidRPr="00101C73">
        <w:rPr>
          <w:rFonts w:ascii="Arial" w:hAnsi="Arial" w:cs="Arial"/>
          <w:highlight w:val="yellow"/>
        </w:rPr>
        <w:t>p.gaz</w:t>
      </w:r>
      <w:proofErr w:type="spellEnd"/>
      <w:r w:rsidRPr="00101C73">
        <w:rPr>
          <w:rFonts w:ascii="Arial" w:hAnsi="Arial" w:cs="Arial"/>
          <w:highlight w:val="yellow"/>
        </w:rPr>
        <w:t>, kaski i okulary ochronne</w:t>
      </w:r>
      <w:r w:rsidR="005635CB">
        <w:rPr>
          <w:rFonts w:ascii="Arial" w:hAnsi="Arial" w:cs="Arial"/>
        </w:rPr>
        <w:t xml:space="preserve"> i detektory wielogazowe.</w:t>
      </w:r>
    </w:p>
    <w:p w14:paraId="4DC2F9CE" w14:textId="1261345F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2F311C">
        <w:rPr>
          <w:rFonts w:ascii="Arial" w:hAnsi="Arial" w:cs="Arial"/>
          <w:highlight w:val="yellow"/>
        </w:rPr>
        <w:t>AWCA zobowiązany jest do tego aby,  w sprawach</w:t>
      </w:r>
      <w:r w:rsidR="005D4984">
        <w:rPr>
          <w:rFonts w:ascii="Arial" w:hAnsi="Arial" w:cs="Arial"/>
          <w:highlight w:val="yellow"/>
        </w:rPr>
        <w:t xml:space="preserve"> bezpieczeństwa i higieny pracy, </w:t>
      </w:r>
      <w:r w:rsidRPr="002F311C">
        <w:rPr>
          <w:rFonts w:ascii="Arial" w:hAnsi="Arial" w:cs="Arial"/>
          <w:highlight w:val="yellow"/>
        </w:rPr>
        <w:t>ochrony przeciwpożarowej oraz bezpieczeństwa procesowego</w:t>
      </w:r>
      <w:r>
        <w:rPr>
          <w:rFonts w:ascii="Arial" w:hAnsi="Arial" w:cs="Arial"/>
          <w:highlight w:val="yellow"/>
        </w:rPr>
        <w:t xml:space="preserve"> </w:t>
      </w:r>
      <w:r w:rsidRPr="002F311C">
        <w:rPr>
          <w:rFonts w:ascii="Arial" w:hAnsi="Arial" w:cs="Arial"/>
          <w:highlight w:val="yellow"/>
        </w:rPr>
        <w:t xml:space="preserve">respektował uwagi i polecenia przedstawiciela </w:t>
      </w:r>
      <w:r>
        <w:rPr>
          <w:rFonts w:ascii="Arial" w:hAnsi="Arial" w:cs="Arial"/>
          <w:highlight w:val="yellow"/>
        </w:rPr>
        <w:t>KUPU</w:t>
      </w:r>
      <w:r w:rsidRPr="002F311C">
        <w:rPr>
          <w:rFonts w:ascii="Arial" w:hAnsi="Arial" w:cs="Arial"/>
          <w:highlight w:val="yellow"/>
        </w:rPr>
        <w:t xml:space="preserve">JĄCEGO, służby BHP ORLEN S.A., Koordynatora bhp oraz przedstawiciela ochrony przeciwpożarowej </w:t>
      </w:r>
      <w:r w:rsidRPr="002F311C">
        <w:rPr>
          <w:rFonts w:ascii="Arial" w:hAnsi="Arial" w:cs="Arial"/>
          <w:highlight w:val="yellow"/>
        </w:rPr>
        <w:lastRenderedPageBreak/>
        <w:t>ORLEN S.A. i zobowiązuje się do współdziałania w zakresie prewencji wypadkowej oraz pożarowej podczas prac realizowanych w ramach P</w:t>
      </w:r>
      <w:r>
        <w:rPr>
          <w:rFonts w:ascii="Arial" w:hAnsi="Arial" w:cs="Arial"/>
          <w:highlight w:val="yellow"/>
        </w:rPr>
        <w:t>rzedmiotu Zamówienia</w:t>
      </w:r>
      <w:r w:rsidRPr="002F311C">
        <w:rPr>
          <w:rFonts w:ascii="Arial" w:hAnsi="Arial" w:cs="Arial"/>
          <w:highlight w:val="yellow"/>
        </w:rPr>
        <w:t xml:space="preserve"> na terenie ORLEN 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>Do faktury Sprzedawca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1.  Płatność wynikająca z umowy będzie realizowana w mechanizmie podzielonej płatności, o którym mowa w ustawie z dnia 11 marca 2004 r. o podatku od towarów i usług (j.t. Dz. U. z 2018 r, poz. 2174  ze zm.), wyłącznie na wskazany przez Sprzedawcę/Dostawcę/Kontrahenta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(i)           brak na Białej liście wskazanego przez Sprzedawcę/Dostawcę/Kontrahenta numeru rachunku bankowego lub </w:t>
      </w:r>
    </w:p>
    <w:p w14:paraId="1388D8C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Sprzedawcę/Dostawcę/Kontrahenta do zapłaty ceny netto rachunku bankowego w walucie obcej), ORLEN Projekt S.A. będzie uprawniony do wstrzymania płatności na rzecz Sprzedawcy/Dostawcy/Kontrahenta odpowiednio: wynagrodzenia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(i)) lub części wynagrodzenia odpowiadającej podatkowi VAT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(ii)). </w:t>
      </w:r>
    </w:p>
    <w:p w14:paraId="03F076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3.  W sytuacji wskazanej w pkt 2 powyżej płatność nastąpi nie później niż w terminie 7 dni roboczych od (odpowiednio): dnia następnego po przekazaniu ORLEN Projekt S.A. przez Sprzedawcę/Dostawcę/Kontrahenta informacji o pojawieniu się jego numeru rachunku bankowego na Białej liście (w przypadku wskazanym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 powyżej) lub dnia następnego po wskazaniu ORLEN Projekt S.A. przez Sprzedawcę/Dostawcę/Kontrahenta numeru rachunku bankowego w złotych polskich figurującego na Białej liście (w przypadku, o którym mowa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 powyżej).</w:t>
      </w:r>
    </w:p>
    <w:p w14:paraId="3AEE8A7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Sprzedawcy/Dostawcy/Kontrahenta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77777777" w:rsidR="00B66424" w:rsidRDefault="00B66424">
      <w:pPr>
        <w:snapToGrid w:val="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Sprzedawca nie może bez uprzedniej pisemnej zgody Kupującego przenieść na osobę trzecią (dokonać przelewu) wierzytelności obejmującej zobowiązanie do zapłaty na rzecz Sprzedawcy wynagrodzenia za świadczenia przewidywane w niniejszej Umowie.</w:t>
      </w: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51617979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Sprzedawca udziela 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63492229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>
        <w:rPr>
          <w:rFonts w:ascii="Arial" w:eastAsia="Calibri" w:hAnsi="Arial" w:cs="Arial"/>
          <w:b w:val="0"/>
          <w:sz w:val="20"/>
          <w:lang w:val="pl-PL"/>
        </w:rPr>
        <w:t>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2BE70A93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lastRenderedPageBreak/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Pr="003F7AE1">
        <w:rPr>
          <w:rFonts w:ascii="Arial" w:eastAsia="Calibri" w:hAnsi="Arial" w:cs="Arial"/>
          <w:b w:val="0"/>
          <w:sz w:val="20"/>
          <w:lang w:val="pl-PL"/>
        </w:rPr>
        <w:t>, SPRZEDAWCA zobowiązuje się do wypełnienia w imieniu KUPUJĄCYEGO jako Administratora danych w rozumieniu obowiązujących przepisów prawa o ochronie danych osobowych, niezwłocznie, jednakże nie później niż w terminie 30 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obowiązku informacyjnego wynikającego z art. 14 RODO wobec osób fizycznych, których dane 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453BF180" w:rsidR="00812AF3" w:rsidRPr="00812AF3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</w:pPr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9.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Załączniki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(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stanowiące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integralną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część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Umowy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)</w:t>
      </w:r>
      <w:r w:rsid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przekazane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w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formie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elektronicznej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:</w:t>
      </w:r>
    </w:p>
    <w:p w14:paraId="42809724" w14:textId="46FB2FC1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1 - GK ORLEN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Kodeks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Postępowania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dla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Dostawców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</w:p>
    <w:p w14:paraId="5A33120C" w14:textId="77777777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2 -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dotyczące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ochrony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środowiska</w:t>
      </w:r>
      <w:proofErr w:type="spellEnd"/>
    </w:p>
    <w:p w14:paraId="74484B9F" w14:textId="4B676B7F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3 -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BHP do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zamówień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</w:p>
    <w:p w14:paraId="1489F6DE" w14:textId="6D05A542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4 -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Załączniki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do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wytycznych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BHP </w:t>
      </w:r>
    </w:p>
    <w:p w14:paraId="0BD06FE7" w14:textId="472807B0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5 -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Polityka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upominkowa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_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główne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założenia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v1 </w:t>
      </w:r>
    </w:p>
    <w:p w14:paraId="5661AECF" w14:textId="626F2781" w:rsid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6 -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Oświadczenie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NDA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rk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r>
        <w:rPr>
          <w:rFonts w:ascii="Arial" w:eastAsia="Calibri" w:hAnsi="Arial" w:cs="Arial"/>
          <w:color w:val="FF0000"/>
          <w:sz w:val="20"/>
          <w:lang w:val="en-US"/>
        </w:rPr>
        <w:t>(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jeżeli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było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wymagane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>)</w:t>
      </w:r>
    </w:p>
    <w:p w14:paraId="45B885D2" w14:textId="0765D6E8" w:rsidR="00832F86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7 –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Instrukcja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ruchu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osobowym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w ORLEN S.A.</w:t>
      </w:r>
    </w:p>
    <w:p w14:paraId="2FFC458B" w14:textId="0164A99D" w:rsidR="00832F86" w:rsidRPr="00812AF3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8 –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Instrukcja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ruchu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materiałowym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w ORLEN S.A.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D850004" w14:textId="526143A4" w:rsidR="00E70B2F" w:rsidRPr="00105DB3" w:rsidRDefault="00812AF3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highlight w:val="yellow"/>
        </w:rPr>
        <w:t>Załą</w:t>
      </w:r>
      <w:r w:rsidR="00E70B2F">
        <w:rPr>
          <w:rFonts w:ascii="Arial" w:hAnsi="Arial" w:cs="Arial"/>
          <w:sz w:val="20"/>
          <w:highlight w:val="yellow"/>
        </w:rPr>
        <w:t>cznik nr 8 – Informacja w zakresie Wymagań Bezpieczeństwa  i Higieny Pracy Orlen S. 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206251B6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……………………</w:t>
      </w:r>
    </w:p>
    <w:p w14:paraId="76E5680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59D4446F" w14:textId="77777777" w:rsidR="002963DB" w:rsidRDefault="002963DB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                                                                                                  …………………...</w:t>
      </w:r>
    </w:p>
    <w:p w14:paraId="3F522E37" w14:textId="77777777" w:rsidR="00B66424" w:rsidRDefault="00B66424">
      <w:pPr>
        <w:pStyle w:val="Tekstpodstawowy"/>
        <w:spacing w:before="120"/>
        <w:ind w:right="0" w:firstLine="360"/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…………………...</w:t>
      </w:r>
    </w:p>
    <w:sectPr w:rsidR="00B66424">
      <w:headerReference w:type="default" r:id="rId7"/>
      <w:footerReference w:type="even" r:id="rId8"/>
      <w:footerReference w:type="default" r:id="rId9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8D82D" w14:textId="77777777" w:rsidR="00103A99" w:rsidRDefault="00103A99">
      <w:r>
        <w:separator/>
      </w:r>
    </w:p>
  </w:endnote>
  <w:endnote w:type="continuationSeparator" w:id="0">
    <w:p w14:paraId="389D930A" w14:textId="77777777" w:rsidR="00103A99" w:rsidRDefault="0010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798" w14:textId="77777777" w:rsidR="00B66424" w:rsidRDefault="00B66424">
    <w:pPr>
      <w:pStyle w:val="Stopka"/>
      <w:jc w:val="right"/>
    </w:pPr>
  </w:p>
  <w:p w14:paraId="7D1BE86C" w14:textId="7CE0D283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160FB">
      <w:rPr>
        <w:noProof/>
      </w:rPr>
      <w:t>4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  <w:shd w:val="clear" w:color="auto" w:fill="auto"/>
        </w:tcPr>
        <w:p w14:paraId="66630B71" w14:textId="66885159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</w:p>
      </w:tc>
      <w:tc>
        <w:tcPr>
          <w:tcW w:w="3261" w:type="dxa"/>
          <w:shd w:val="clear" w:color="auto" w:fill="auto"/>
        </w:tcPr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E160FB" w:rsidRPr="00E160FB" w14:paraId="3D1AEF78" w14:textId="77777777" w:rsidTr="00E0712B">
      <w:tc>
        <w:tcPr>
          <w:tcW w:w="2978" w:type="dxa"/>
        </w:tcPr>
        <w:p w14:paraId="6D50DA58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ORLEN Projekt S.A.</w:t>
          </w:r>
        </w:p>
        <w:p w14:paraId="51D54F3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 siedzibą w Płocku</w:t>
          </w:r>
        </w:p>
        <w:p w14:paraId="7F4CC486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proofErr w:type="spellStart"/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Zglenickiego</w:t>
          </w:r>
          <w:proofErr w:type="spellEnd"/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 42</w:t>
          </w:r>
        </w:p>
        <w:p w14:paraId="3F1C36D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09-411 Płock</w:t>
          </w:r>
        </w:p>
      </w:tc>
      <w:tc>
        <w:tcPr>
          <w:tcW w:w="4019" w:type="dxa"/>
        </w:tcPr>
        <w:p w14:paraId="3870171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Rejestracja Spółki:</w:t>
          </w:r>
        </w:p>
        <w:p w14:paraId="3F32B069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Sąd Rejonowy dla Łodzi-Śródmieścia w Łodzi; </w:t>
          </w:r>
        </w:p>
        <w:p w14:paraId="16A68AEF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XX Wydział Gospodarczy</w:t>
          </w:r>
        </w:p>
        <w:p w14:paraId="0E2C9DB0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KRS: 0000064194</w:t>
          </w:r>
        </w:p>
        <w:p w14:paraId="60AA1884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NIP: 774-23-72-663</w:t>
          </w:r>
        </w:p>
        <w:p w14:paraId="787B66E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REGON: 610411633</w:t>
          </w:r>
        </w:p>
        <w:p w14:paraId="31279BCA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BDO: 000025750 </w:t>
          </w:r>
        </w:p>
        <w:p w14:paraId="57904F3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Wysokość kapitału zakładowego i kapitału wpłaconego: 1 500 000 zł</w:t>
          </w:r>
        </w:p>
        <w:p w14:paraId="563B47EB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right="567"/>
            <w:rPr>
              <w:rFonts w:ascii="Arial" w:hAnsi="Arial" w:cs="Arial"/>
              <w:noProof/>
              <w:color w:val="676D6F"/>
              <w:sz w:val="16"/>
              <w:szCs w:val="16"/>
              <w:lang w:eastAsia="pl-PL"/>
            </w:rPr>
          </w:pPr>
        </w:p>
      </w:tc>
      <w:tc>
        <w:tcPr>
          <w:tcW w:w="2076" w:type="dxa"/>
        </w:tcPr>
        <w:p w14:paraId="3B42EDE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+48 (24) 364-46-00</w:t>
          </w:r>
        </w:p>
        <w:p w14:paraId="11AD36C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sekretariat@orlenprojekt.eu www.orlenprojekt.pl</w:t>
          </w:r>
        </w:p>
      </w:tc>
    </w:tr>
  </w:tbl>
  <w:p w14:paraId="4EAED05B" w14:textId="04609227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160FB">
      <w:rPr>
        <w:noProof/>
      </w:rPr>
      <w:t>5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4D3D8" w14:textId="77777777" w:rsidR="00103A99" w:rsidRDefault="00103A99">
      <w:r>
        <w:separator/>
      </w:r>
    </w:p>
  </w:footnote>
  <w:footnote w:type="continuationSeparator" w:id="0">
    <w:p w14:paraId="3AFD4F11" w14:textId="77777777" w:rsidR="00103A99" w:rsidRDefault="0010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108C" w14:textId="53DECD8D" w:rsidR="00B66424" w:rsidRDefault="00E160FB">
    <w:pPr>
      <w:pStyle w:val="Nagwek"/>
      <w:jc w:val="center"/>
    </w:pPr>
    <w:r w:rsidRPr="00E160FB">
      <w:rPr>
        <w:rFonts w:ascii="Arial" w:hAnsi="Arial"/>
        <w:noProof/>
        <w:lang w:eastAsia="pl-PL"/>
      </w:rPr>
      <w:drawing>
        <wp:inline distT="0" distB="0" distL="0" distR="0" wp14:anchorId="36A8BE5F" wp14:editId="029C08CC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DB"/>
    <w:rsid w:val="000060E8"/>
    <w:rsid w:val="0000614E"/>
    <w:rsid w:val="00034FC7"/>
    <w:rsid w:val="00053A05"/>
    <w:rsid w:val="00083FB5"/>
    <w:rsid w:val="000902B3"/>
    <w:rsid w:val="000B077A"/>
    <w:rsid w:val="00103A99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4F49"/>
    <w:rsid w:val="002F60E4"/>
    <w:rsid w:val="00332206"/>
    <w:rsid w:val="003F7AE1"/>
    <w:rsid w:val="004104D5"/>
    <w:rsid w:val="00413A8C"/>
    <w:rsid w:val="00444126"/>
    <w:rsid w:val="00446651"/>
    <w:rsid w:val="0046107B"/>
    <w:rsid w:val="004B05D1"/>
    <w:rsid w:val="004D7C54"/>
    <w:rsid w:val="005635CB"/>
    <w:rsid w:val="00565158"/>
    <w:rsid w:val="00566175"/>
    <w:rsid w:val="0057644E"/>
    <w:rsid w:val="00586A89"/>
    <w:rsid w:val="00587660"/>
    <w:rsid w:val="005B26BB"/>
    <w:rsid w:val="005D4984"/>
    <w:rsid w:val="00643262"/>
    <w:rsid w:val="00675500"/>
    <w:rsid w:val="00684A9F"/>
    <w:rsid w:val="00694046"/>
    <w:rsid w:val="00707DCB"/>
    <w:rsid w:val="00715D40"/>
    <w:rsid w:val="00770591"/>
    <w:rsid w:val="007D6856"/>
    <w:rsid w:val="00810FFE"/>
    <w:rsid w:val="00812AF3"/>
    <w:rsid w:val="00832F86"/>
    <w:rsid w:val="00864D68"/>
    <w:rsid w:val="00883D14"/>
    <w:rsid w:val="0088728F"/>
    <w:rsid w:val="00912054"/>
    <w:rsid w:val="009408C8"/>
    <w:rsid w:val="009E7F6C"/>
    <w:rsid w:val="00A22FCD"/>
    <w:rsid w:val="00A472B9"/>
    <w:rsid w:val="00A70A70"/>
    <w:rsid w:val="00AD6124"/>
    <w:rsid w:val="00AF1CA2"/>
    <w:rsid w:val="00AF4BF0"/>
    <w:rsid w:val="00B22050"/>
    <w:rsid w:val="00B2545B"/>
    <w:rsid w:val="00B66424"/>
    <w:rsid w:val="00B77162"/>
    <w:rsid w:val="00BE5082"/>
    <w:rsid w:val="00C83C46"/>
    <w:rsid w:val="00CD5CC1"/>
    <w:rsid w:val="00D36A95"/>
    <w:rsid w:val="00DE096C"/>
    <w:rsid w:val="00E160FB"/>
    <w:rsid w:val="00E70B2F"/>
    <w:rsid w:val="00EF3A35"/>
    <w:rsid w:val="00F07DA6"/>
    <w:rsid w:val="00F148A8"/>
    <w:rsid w:val="00F43561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  <w:style w:type="table" w:styleId="Tabela-Siatka">
    <w:name w:val="Table Grid"/>
    <w:basedOn w:val="Standardowy"/>
    <w:rsid w:val="00E1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E160FB"/>
    <w:pPr>
      <w:tabs>
        <w:tab w:val="center" w:pos="4536"/>
        <w:tab w:val="right" w:pos="9072"/>
      </w:tabs>
      <w:suppressAutoHyphens w:val="0"/>
      <w:ind w:right="567"/>
      <w:jc w:val="right"/>
    </w:pPr>
    <w:rPr>
      <w:rFonts w:ascii="Calibri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E160FB"/>
    <w:rPr>
      <w:rFonts w:ascii="Calibri" w:hAnsi="Calibri" w:cs="Calibri"/>
      <w:noProof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1631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11400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Kaleta Katarzyna (PRO)</cp:lastModifiedBy>
  <cp:revision>27</cp:revision>
  <cp:lastPrinted>1899-12-31T23:00:00Z</cp:lastPrinted>
  <dcterms:created xsi:type="dcterms:W3CDTF">2021-10-11T14:07:00Z</dcterms:created>
  <dcterms:modified xsi:type="dcterms:W3CDTF">2025-07-07T09:15:00Z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